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0" w:rsidRPr="00A74781" w:rsidRDefault="00414E30" w:rsidP="00007DBC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bCs/>
          <w:spacing w:val="-3"/>
          <w:sz w:val="22"/>
          <w:szCs w:val="22"/>
        </w:rPr>
      </w:pPr>
      <w:bookmarkStart w:id="0" w:name="_GoBack"/>
      <w:bookmarkEnd w:id="0"/>
      <w:r w:rsidRPr="00A74781">
        <w:rPr>
          <w:rFonts w:cs="Arial"/>
          <w:sz w:val="22"/>
          <w:szCs w:val="22"/>
        </w:rPr>
        <w:t xml:space="preserve">The </w:t>
      </w:r>
      <w:r w:rsidRPr="00A74781">
        <w:rPr>
          <w:rFonts w:cs="Arial"/>
          <w:i/>
          <w:sz w:val="22"/>
          <w:szCs w:val="22"/>
        </w:rPr>
        <w:t>Biodiscovery Act 2004</w:t>
      </w:r>
      <w:r w:rsidRPr="00A74781">
        <w:rPr>
          <w:rFonts w:cs="Arial"/>
          <w:sz w:val="22"/>
          <w:szCs w:val="22"/>
        </w:rPr>
        <w:t xml:space="preserve"> (Qld) (the Act) commenced by proclamation on </w:t>
      </w:r>
      <w:r w:rsidR="005B1369">
        <w:rPr>
          <w:rFonts w:cs="Arial"/>
          <w:sz w:val="22"/>
          <w:szCs w:val="22"/>
        </w:rPr>
        <w:t>12 </w:t>
      </w:r>
      <w:r w:rsidRPr="00A74781">
        <w:rPr>
          <w:rFonts w:cs="Arial"/>
          <w:sz w:val="22"/>
          <w:szCs w:val="22"/>
        </w:rPr>
        <w:t>November 2004. The legislation provides for streamlined and sustainable access to the State’s native biological resources for the purposes of biodiscovery whilst returning a fair and equitable benefit to the State, for the benefit of all Queenslanders.</w:t>
      </w:r>
    </w:p>
    <w:p w:rsidR="00414E30" w:rsidRPr="00A74781" w:rsidRDefault="00414E30" w:rsidP="00414E30">
      <w:pPr>
        <w:jc w:val="both"/>
        <w:rPr>
          <w:rFonts w:cs="Arial"/>
          <w:bCs/>
          <w:spacing w:val="-3"/>
          <w:sz w:val="22"/>
          <w:szCs w:val="22"/>
        </w:rPr>
      </w:pPr>
    </w:p>
    <w:p w:rsidR="00414E30" w:rsidRPr="00A74781" w:rsidRDefault="00414E30" w:rsidP="00007DBC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bCs/>
          <w:spacing w:val="-4"/>
          <w:sz w:val="22"/>
          <w:szCs w:val="22"/>
        </w:rPr>
      </w:pPr>
      <w:r w:rsidRPr="00A74781">
        <w:rPr>
          <w:rFonts w:cs="Arial"/>
          <w:spacing w:val="-4"/>
          <w:sz w:val="22"/>
          <w:szCs w:val="22"/>
        </w:rPr>
        <w:t>An independent review of the Act was conducted in 2009, with the report of</w:t>
      </w:r>
      <w:r w:rsidR="00C47463" w:rsidRPr="00A74781">
        <w:rPr>
          <w:rFonts w:cs="Arial"/>
          <w:spacing w:val="-4"/>
          <w:sz w:val="22"/>
          <w:szCs w:val="22"/>
        </w:rPr>
        <w:t xml:space="preserve"> the</w:t>
      </w:r>
      <w:r w:rsidRPr="00A74781">
        <w:rPr>
          <w:rFonts w:cs="Arial"/>
          <w:spacing w:val="-4"/>
          <w:sz w:val="22"/>
          <w:szCs w:val="22"/>
        </w:rPr>
        <w:t xml:space="preserve"> independent reviewer tabled out of session </w:t>
      </w:r>
      <w:r w:rsidR="005B1369">
        <w:rPr>
          <w:rFonts w:cs="Arial"/>
          <w:spacing w:val="-4"/>
          <w:sz w:val="22"/>
          <w:szCs w:val="22"/>
        </w:rPr>
        <w:t xml:space="preserve">in the Queensland Parliament on 1 </w:t>
      </w:r>
      <w:r w:rsidRPr="00A74781">
        <w:rPr>
          <w:rFonts w:cs="Arial"/>
          <w:spacing w:val="-4"/>
          <w:sz w:val="22"/>
          <w:szCs w:val="22"/>
        </w:rPr>
        <w:t xml:space="preserve">December 2009.  </w:t>
      </w:r>
    </w:p>
    <w:p w:rsidR="00414E30" w:rsidRPr="00A74781" w:rsidRDefault="00414E30" w:rsidP="00414E30">
      <w:pPr>
        <w:pStyle w:val="ListParagraph"/>
        <w:rPr>
          <w:rFonts w:cs="Arial"/>
          <w:sz w:val="22"/>
          <w:szCs w:val="22"/>
        </w:rPr>
      </w:pPr>
    </w:p>
    <w:p w:rsidR="0091184D" w:rsidRPr="00A74781" w:rsidRDefault="0091184D" w:rsidP="00007DBC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bCs/>
          <w:spacing w:val="-3"/>
          <w:sz w:val="22"/>
          <w:szCs w:val="22"/>
        </w:rPr>
      </w:pPr>
      <w:r w:rsidRPr="00A74781">
        <w:rPr>
          <w:rFonts w:cs="Arial"/>
          <w:bCs/>
          <w:spacing w:val="-3"/>
          <w:sz w:val="22"/>
          <w:szCs w:val="22"/>
        </w:rPr>
        <w:t>T</w:t>
      </w:r>
      <w:r w:rsidRPr="00A74781">
        <w:rPr>
          <w:rFonts w:cs="Arial"/>
          <w:sz w:val="22"/>
          <w:szCs w:val="22"/>
        </w:rPr>
        <w:t>he main findings of the review are:</w:t>
      </w:r>
    </w:p>
    <w:p w:rsidR="0085318D" w:rsidRPr="00A74781" w:rsidRDefault="0085318D" w:rsidP="00007DBC">
      <w:pPr>
        <w:numPr>
          <w:ilvl w:val="0"/>
          <w:numId w:val="13"/>
        </w:numPr>
        <w:tabs>
          <w:tab w:val="clear" w:pos="924"/>
          <w:tab w:val="num" w:pos="1200"/>
        </w:tabs>
        <w:ind w:left="1200" w:hanging="633"/>
        <w:jc w:val="both"/>
        <w:rPr>
          <w:rFonts w:cs="Arial"/>
          <w:sz w:val="22"/>
          <w:szCs w:val="22"/>
        </w:rPr>
      </w:pPr>
      <w:r w:rsidRPr="00A74781">
        <w:rPr>
          <w:rFonts w:cs="Arial"/>
          <w:sz w:val="22"/>
          <w:szCs w:val="22"/>
        </w:rPr>
        <w:t>the purpose of the Act is being achieved and the regulatory framework of the Act is appropriate;</w:t>
      </w:r>
    </w:p>
    <w:p w:rsidR="0091184D" w:rsidRPr="00A74781" w:rsidRDefault="0091184D" w:rsidP="00007DBC">
      <w:pPr>
        <w:numPr>
          <w:ilvl w:val="1"/>
          <w:numId w:val="13"/>
        </w:numPr>
        <w:tabs>
          <w:tab w:val="num" w:pos="1150"/>
        </w:tabs>
        <w:ind w:left="1150" w:hanging="575"/>
        <w:jc w:val="both"/>
        <w:rPr>
          <w:rFonts w:cs="Arial"/>
          <w:sz w:val="22"/>
          <w:szCs w:val="22"/>
        </w:rPr>
      </w:pPr>
      <w:r w:rsidRPr="00A74781">
        <w:rPr>
          <w:rFonts w:cs="Arial"/>
          <w:sz w:val="22"/>
          <w:szCs w:val="22"/>
        </w:rPr>
        <w:t>the policy objectives and scope of the Act remain valid;</w:t>
      </w:r>
    </w:p>
    <w:p w:rsidR="0091184D" w:rsidRPr="00A74781" w:rsidRDefault="0091184D" w:rsidP="00007DBC">
      <w:pPr>
        <w:numPr>
          <w:ilvl w:val="1"/>
          <w:numId w:val="13"/>
        </w:numPr>
        <w:tabs>
          <w:tab w:val="num" w:pos="1150"/>
        </w:tabs>
        <w:ind w:left="1150" w:hanging="575"/>
        <w:jc w:val="both"/>
        <w:rPr>
          <w:rFonts w:cs="Arial"/>
          <w:sz w:val="22"/>
          <w:szCs w:val="22"/>
        </w:rPr>
      </w:pPr>
      <w:r w:rsidRPr="00A74781">
        <w:rPr>
          <w:rFonts w:cs="Arial"/>
          <w:sz w:val="22"/>
          <w:szCs w:val="22"/>
        </w:rPr>
        <w:t xml:space="preserve">the scope of the Act should not be extended to private land or land over which a native title determination of exclusive possession has been made; </w:t>
      </w:r>
    </w:p>
    <w:p w:rsidR="0085318D" w:rsidRPr="00A74781" w:rsidRDefault="0091184D" w:rsidP="00007DBC">
      <w:pPr>
        <w:numPr>
          <w:ilvl w:val="1"/>
          <w:numId w:val="13"/>
        </w:numPr>
        <w:tabs>
          <w:tab w:val="num" w:pos="1150"/>
        </w:tabs>
        <w:ind w:left="1150" w:hanging="575"/>
        <w:jc w:val="both"/>
        <w:rPr>
          <w:rFonts w:cs="Arial"/>
          <w:sz w:val="22"/>
          <w:szCs w:val="22"/>
        </w:rPr>
      </w:pPr>
      <w:r w:rsidRPr="00A74781">
        <w:rPr>
          <w:rFonts w:cs="Arial"/>
          <w:sz w:val="22"/>
          <w:szCs w:val="22"/>
        </w:rPr>
        <w:t>the Act should not be amended to afford legislative protection of traditional indigenous knowledge</w:t>
      </w:r>
      <w:r w:rsidR="0085318D" w:rsidRPr="00A74781">
        <w:rPr>
          <w:rFonts w:cs="Arial"/>
          <w:sz w:val="22"/>
          <w:szCs w:val="22"/>
        </w:rPr>
        <w:t>; and</w:t>
      </w:r>
    </w:p>
    <w:p w:rsidR="001C604A" w:rsidRPr="00A74781" w:rsidRDefault="0085318D" w:rsidP="00007DBC">
      <w:pPr>
        <w:numPr>
          <w:ilvl w:val="1"/>
          <w:numId w:val="13"/>
        </w:numPr>
        <w:tabs>
          <w:tab w:val="num" w:pos="1150"/>
        </w:tabs>
        <w:ind w:left="1150" w:hanging="575"/>
        <w:jc w:val="both"/>
        <w:rPr>
          <w:rFonts w:cs="Arial"/>
          <w:sz w:val="22"/>
          <w:szCs w:val="22"/>
        </w:rPr>
      </w:pPr>
      <w:r w:rsidRPr="00A74781">
        <w:rPr>
          <w:rFonts w:cs="Arial"/>
          <w:sz w:val="22"/>
          <w:szCs w:val="22"/>
        </w:rPr>
        <w:t>implementation of an international regime on access and benefit sharing arrangements should be closely monitored</w:t>
      </w:r>
      <w:r w:rsidR="0091184D" w:rsidRPr="00A74781">
        <w:rPr>
          <w:rFonts w:cs="Arial"/>
          <w:sz w:val="22"/>
          <w:szCs w:val="22"/>
        </w:rPr>
        <w:t>.</w:t>
      </w:r>
    </w:p>
    <w:p w:rsidR="001C604A" w:rsidRPr="00A74781" w:rsidRDefault="001C604A" w:rsidP="001C604A">
      <w:pPr>
        <w:pStyle w:val="ListParagraph"/>
        <w:rPr>
          <w:rFonts w:cs="Arial"/>
          <w:sz w:val="22"/>
          <w:szCs w:val="22"/>
        </w:rPr>
      </w:pPr>
    </w:p>
    <w:p w:rsidR="00414E30" w:rsidRPr="00A74781" w:rsidRDefault="00851226" w:rsidP="00007DBC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bCs/>
          <w:spacing w:val="-3"/>
          <w:sz w:val="22"/>
          <w:szCs w:val="22"/>
        </w:rPr>
      </w:pPr>
      <w:r w:rsidRPr="00A74781">
        <w:rPr>
          <w:rFonts w:cs="Arial"/>
          <w:sz w:val="22"/>
          <w:szCs w:val="22"/>
        </w:rPr>
        <w:t>On balance</w:t>
      </w:r>
      <w:r w:rsidR="0091184D" w:rsidRPr="00A74781">
        <w:rPr>
          <w:rFonts w:cs="Arial"/>
          <w:sz w:val="22"/>
          <w:szCs w:val="22"/>
        </w:rPr>
        <w:t xml:space="preserve"> t</w:t>
      </w:r>
      <w:r w:rsidR="00414E30" w:rsidRPr="00A74781">
        <w:rPr>
          <w:rFonts w:cs="Arial"/>
          <w:sz w:val="22"/>
          <w:szCs w:val="22"/>
        </w:rPr>
        <w:t>he review found that the legislation had worked well in the five years</w:t>
      </w:r>
      <w:r w:rsidR="0091184D" w:rsidRPr="00A74781">
        <w:rPr>
          <w:rFonts w:cs="Arial"/>
          <w:sz w:val="22"/>
          <w:szCs w:val="22"/>
        </w:rPr>
        <w:t xml:space="preserve"> following introduction</w:t>
      </w:r>
      <w:r w:rsidRPr="00A74781">
        <w:rPr>
          <w:rFonts w:cs="Arial"/>
          <w:sz w:val="22"/>
          <w:szCs w:val="22"/>
        </w:rPr>
        <w:t>, however</w:t>
      </w:r>
      <w:r w:rsidR="0091184D" w:rsidRPr="00A74781">
        <w:rPr>
          <w:rFonts w:cs="Arial"/>
          <w:sz w:val="22"/>
          <w:szCs w:val="22"/>
        </w:rPr>
        <w:t xml:space="preserve"> it</w:t>
      </w:r>
      <w:r w:rsidR="001C604A" w:rsidRPr="00A74781">
        <w:rPr>
          <w:rFonts w:cs="Arial"/>
          <w:sz w:val="22"/>
          <w:szCs w:val="22"/>
        </w:rPr>
        <w:t xml:space="preserve"> </w:t>
      </w:r>
      <w:r w:rsidR="00414E30" w:rsidRPr="00A74781">
        <w:rPr>
          <w:rFonts w:cs="Arial"/>
          <w:sz w:val="22"/>
          <w:szCs w:val="22"/>
        </w:rPr>
        <w:t>suggested a number of minor changes aimed at improving the operation of the legislation whilst ensuring that it c</w:t>
      </w:r>
      <w:r w:rsidRPr="00A74781">
        <w:rPr>
          <w:rFonts w:cs="Arial"/>
          <w:sz w:val="22"/>
          <w:szCs w:val="22"/>
        </w:rPr>
        <w:t>ontinue</w:t>
      </w:r>
      <w:r w:rsidR="00C47463" w:rsidRPr="00A74781">
        <w:rPr>
          <w:rFonts w:cs="Arial"/>
          <w:sz w:val="22"/>
          <w:szCs w:val="22"/>
        </w:rPr>
        <w:t>s</w:t>
      </w:r>
      <w:r w:rsidRPr="00A74781">
        <w:rPr>
          <w:rFonts w:cs="Arial"/>
          <w:sz w:val="22"/>
          <w:szCs w:val="22"/>
        </w:rPr>
        <w:t xml:space="preserve"> to achieve its purpose.</w:t>
      </w:r>
      <w:r w:rsidR="0094720F" w:rsidRPr="00A74781">
        <w:rPr>
          <w:rFonts w:cs="Arial"/>
          <w:sz w:val="22"/>
          <w:szCs w:val="22"/>
        </w:rPr>
        <w:t xml:space="preserve"> In addition, the review recommend</w:t>
      </w:r>
      <w:r w:rsidR="00E3679C" w:rsidRPr="00A74781">
        <w:rPr>
          <w:rFonts w:cs="Arial"/>
          <w:sz w:val="22"/>
          <w:szCs w:val="22"/>
        </w:rPr>
        <w:t>ed</w:t>
      </w:r>
      <w:r w:rsidR="0094720F" w:rsidRPr="00A74781">
        <w:rPr>
          <w:rFonts w:cs="Arial"/>
          <w:sz w:val="22"/>
          <w:szCs w:val="22"/>
        </w:rPr>
        <w:t xml:space="preserve"> increasing public awareness and engagement to improve the operation of the Act. </w:t>
      </w:r>
      <w:r w:rsidRPr="00A74781">
        <w:rPr>
          <w:rFonts w:cs="Arial"/>
          <w:sz w:val="22"/>
          <w:szCs w:val="22"/>
        </w:rPr>
        <w:t xml:space="preserve"> </w:t>
      </w:r>
    </w:p>
    <w:p w:rsidR="00414E30" w:rsidRPr="00A74781" w:rsidRDefault="00414E30" w:rsidP="00414E30">
      <w:pPr>
        <w:tabs>
          <w:tab w:val="left" w:pos="567"/>
        </w:tabs>
        <w:ind w:left="567"/>
        <w:jc w:val="both"/>
        <w:rPr>
          <w:rFonts w:cs="Arial"/>
          <w:bCs/>
          <w:spacing w:val="-3"/>
          <w:sz w:val="22"/>
          <w:szCs w:val="22"/>
        </w:rPr>
      </w:pPr>
    </w:p>
    <w:p w:rsidR="002700F2" w:rsidRPr="00A74781" w:rsidRDefault="00414E30" w:rsidP="00007DBC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bCs/>
          <w:spacing w:val="-4"/>
          <w:sz w:val="22"/>
          <w:szCs w:val="22"/>
        </w:rPr>
      </w:pPr>
      <w:r w:rsidRPr="00A74781">
        <w:rPr>
          <w:rFonts w:cs="Arial"/>
          <w:spacing w:val="-4"/>
          <w:sz w:val="22"/>
          <w:szCs w:val="22"/>
        </w:rPr>
        <w:t xml:space="preserve">The Queensland Government response to the </w:t>
      </w:r>
      <w:r w:rsidRPr="00A74781">
        <w:rPr>
          <w:rFonts w:cs="Arial"/>
          <w:i/>
          <w:spacing w:val="-4"/>
          <w:sz w:val="22"/>
          <w:szCs w:val="22"/>
        </w:rPr>
        <w:t>Review of the Biodiscovery Act 2004 (Qld)</w:t>
      </w:r>
      <w:r w:rsidRPr="00A74781">
        <w:rPr>
          <w:rFonts w:cs="Arial"/>
          <w:spacing w:val="-4"/>
          <w:sz w:val="22"/>
          <w:szCs w:val="22"/>
        </w:rPr>
        <w:t xml:space="preserve"> </w:t>
      </w:r>
      <w:r w:rsidR="001C604A" w:rsidRPr="00A74781">
        <w:rPr>
          <w:rFonts w:cs="Arial"/>
          <w:spacing w:val="-4"/>
          <w:sz w:val="22"/>
          <w:szCs w:val="22"/>
        </w:rPr>
        <w:t xml:space="preserve">is largely supportive of the review’s main findings and the recommendations made by the independent reviewer. The proposed response supports in full </w:t>
      </w:r>
      <w:r w:rsidR="009B4906" w:rsidRPr="00A74781">
        <w:rPr>
          <w:rFonts w:cs="Arial"/>
          <w:spacing w:val="-4"/>
          <w:sz w:val="22"/>
          <w:szCs w:val="22"/>
        </w:rPr>
        <w:t>13</w:t>
      </w:r>
      <w:r w:rsidR="001C604A" w:rsidRPr="00A74781">
        <w:rPr>
          <w:rFonts w:cs="Arial"/>
          <w:spacing w:val="-4"/>
          <w:sz w:val="22"/>
          <w:szCs w:val="22"/>
        </w:rPr>
        <w:t xml:space="preserve"> of the report’s recommendations and, either partially or in</w:t>
      </w:r>
      <w:r w:rsidR="00C47463" w:rsidRPr="00A74781">
        <w:rPr>
          <w:rFonts w:cs="Arial"/>
          <w:spacing w:val="-4"/>
          <w:sz w:val="22"/>
          <w:szCs w:val="22"/>
        </w:rPr>
        <w:t>-</w:t>
      </w:r>
      <w:r w:rsidR="001C604A" w:rsidRPr="00A74781">
        <w:rPr>
          <w:rFonts w:cs="Arial"/>
          <w:spacing w:val="-4"/>
          <w:sz w:val="22"/>
          <w:szCs w:val="22"/>
        </w:rPr>
        <w:t>principle</w:t>
      </w:r>
      <w:r w:rsidR="00C47463" w:rsidRPr="00A74781">
        <w:rPr>
          <w:rFonts w:cs="Arial"/>
          <w:spacing w:val="-4"/>
          <w:sz w:val="22"/>
          <w:szCs w:val="22"/>
        </w:rPr>
        <w:t>,</w:t>
      </w:r>
      <w:r w:rsidR="001C604A" w:rsidRPr="00A74781">
        <w:rPr>
          <w:rFonts w:cs="Arial"/>
          <w:spacing w:val="-4"/>
          <w:sz w:val="22"/>
          <w:szCs w:val="22"/>
        </w:rPr>
        <w:t xml:space="preserve"> supports another </w:t>
      </w:r>
      <w:r w:rsidR="009B4906" w:rsidRPr="00A74781">
        <w:rPr>
          <w:rFonts w:cs="Arial"/>
          <w:spacing w:val="-4"/>
          <w:sz w:val="22"/>
          <w:szCs w:val="22"/>
        </w:rPr>
        <w:t>19</w:t>
      </w:r>
      <w:r w:rsidR="005B1369">
        <w:rPr>
          <w:rFonts w:cs="Arial"/>
          <w:spacing w:val="-4"/>
          <w:sz w:val="22"/>
          <w:szCs w:val="22"/>
        </w:rPr>
        <w:t> </w:t>
      </w:r>
      <w:r w:rsidR="001C604A" w:rsidRPr="00A74781">
        <w:rPr>
          <w:rFonts w:cs="Arial"/>
          <w:spacing w:val="-4"/>
          <w:sz w:val="22"/>
          <w:szCs w:val="22"/>
        </w:rPr>
        <w:t xml:space="preserve">recommendations. On balance, implementation of the recommendations would not change the underlying policy intent or overall legislative framework of the regulatory scheme. </w:t>
      </w:r>
    </w:p>
    <w:p w:rsidR="0091184D" w:rsidRPr="00A74781" w:rsidRDefault="0091184D" w:rsidP="0091184D">
      <w:pPr>
        <w:pStyle w:val="ListParagraph"/>
        <w:rPr>
          <w:rFonts w:cs="Arial"/>
          <w:sz w:val="22"/>
          <w:szCs w:val="22"/>
        </w:rPr>
      </w:pPr>
    </w:p>
    <w:p w:rsidR="0091184D" w:rsidRPr="00A74781" w:rsidRDefault="0091184D" w:rsidP="00007DBC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A74781">
        <w:rPr>
          <w:rFonts w:cs="Arial"/>
          <w:sz w:val="22"/>
          <w:szCs w:val="22"/>
          <w:u w:val="single"/>
        </w:rPr>
        <w:t>Cabinet approved</w:t>
      </w:r>
      <w:r w:rsidRPr="00A74781">
        <w:rPr>
          <w:rFonts w:cs="Arial"/>
          <w:sz w:val="22"/>
          <w:szCs w:val="22"/>
        </w:rPr>
        <w:t xml:space="preserve"> the Queens</w:t>
      </w:r>
      <w:r w:rsidR="008A2960" w:rsidRPr="00A74781">
        <w:rPr>
          <w:rFonts w:cs="Arial"/>
          <w:sz w:val="22"/>
          <w:szCs w:val="22"/>
        </w:rPr>
        <w:t xml:space="preserve">land Government response to the </w:t>
      </w:r>
      <w:r w:rsidR="008A2960" w:rsidRPr="00A74781">
        <w:rPr>
          <w:rFonts w:cs="Arial"/>
          <w:i/>
          <w:sz w:val="22"/>
          <w:szCs w:val="22"/>
        </w:rPr>
        <w:t>Review of the Biodiscovery Act 2004 (Qld)</w:t>
      </w:r>
      <w:r w:rsidRPr="00A74781">
        <w:rPr>
          <w:rFonts w:cs="Arial"/>
          <w:sz w:val="22"/>
          <w:szCs w:val="22"/>
        </w:rPr>
        <w:t>.</w:t>
      </w:r>
    </w:p>
    <w:p w:rsidR="0091184D" w:rsidRPr="00A74781" w:rsidRDefault="0091184D" w:rsidP="005B1369">
      <w:pPr>
        <w:tabs>
          <w:tab w:val="left" w:pos="567"/>
        </w:tabs>
        <w:spacing w:before="120"/>
        <w:jc w:val="both"/>
        <w:rPr>
          <w:rFonts w:cs="Arial"/>
          <w:sz w:val="22"/>
          <w:szCs w:val="22"/>
        </w:rPr>
      </w:pPr>
    </w:p>
    <w:p w:rsidR="0091184D" w:rsidRPr="00A74781" w:rsidRDefault="0091184D" w:rsidP="00007DBC">
      <w:pPr>
        <w:keepNext/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A74781">
        <w:rPr>
          <w:rFonts w:cs="Arial"/>
          <w:i/>
          <w:sz w:val="22"/>
          <w:szCs w:val="22"/>
          <w:u w:val="single"/>
        </w:rPr>
        <w:t>Attachments</w:t>
      </w:r>
    </w:p>
    <w:p w:rsidR="003E1019" w:rsidRPr="00A74781" w:rsidRDefault="00977252" w:rsidP="004D5424">
      <w:pPr>
        <w:numPr>
          <w:ilvl w:val="0"/>
          <w:numId w:val="4"/>
        </w:numPr>
        <w:tabs>
          <w:tab w:val="clear" w:pos="814"/>
          <w:tab w:val="left" w:pos="1134"/>
        </w:tabs>
        <w:ind w:left="1134" w:hanging="567"/>
        <w:rPr>
          <w:rFonts w:cs="Arial"/>
          <w:sz w:val="22"/>
          <w:szCs w:val="22"/>
        </w:rPr>
      </w:pPr>
      <w:hyperlink r:id="rId7" w:history="1">
        <w:r w:rsidR="0091184D" w:rsidRPr="005B1369">
          <w:rPr>
            <w:rStyle w:val="Hyperlink"/>
            <w:rFonts w:cs="Arial"/>
            <w:sz w:val="22"/>
            <w:szCs w:val="22"/>
          </w:rPr>
          <w:t xml:space="preserve">Queensland Government response to the </w:t>
        </w:r>
        <w:r w:rsidR="0091184D" w:rsidRPr="005B1369">
          <w:rPr>
            <w:rStyle w:val="Hyperlink"/>
            <w:rFonts w:cs="Arial"/>
            <w:i/>
            <w:sz w:val="22"/>
            <w:szCs w:val="22"/>
          </w:rPr>
          <w:t>Review of the Biodiscovery Act 2004 (Qld)</w:t>
        </w:r>
        <w:r w:rsidR="0091184D" w:rsidRPr="005B1369">
          <w:rPr>
            <w:rStyle w:val="Hyperlink"/>
            <w:rFonts w:cs="Arial"/>
            <w:sz w:val="22"/>
            <w:szCs w:val="22"/>
          </w:rPr>
          <w:t>,</w:t>
        </w:r>
        <w:r w:rsidR="0091184D" w:rsidRPr="005B1369">
          <w:rPr>
            <w:rStyle w:val="Hyperlink"/>
            <w:rFonts w:cs="Arial"/>
            <w:i/>
            <w:sz w:val="22"/>
            <w:szCs w:val="22"/>
          </w:rPr>
          <w:t xml:space="preserve"> </w:t>
        </w:r>
        <w:r w:rsidR="0091184D" w:rsidRPr="005B1369">
          <w:rPr>
            <w:rStyle w:val="Hyperlink"/>
            <w:rFonts w:cs="Arial"/>
            <w:sz w:val="22"/>
            <w:szCs w:val="22"/>
          </w:rPr>
          <w:t>July 2010</w:t>
        </w:r>
      </w:hyperlink>
    </w:p>
    <w:p w:rsidR="00D27BE4" w:rsidRPr="00A74781" w:rsidRDefault="00D27BE4" w:rsidP="00D27BE4">
      <w:pPr>
        <w:tabs>
          <w:tab w:val="left" w:pos="2835"/>
        </w:tabs>
        <w:rPr>
          <w:rFonts w:cs="Arial"/>
          <w:kern w:val="20"/>
          <w:sz w:val="22"/>
          <w:szCs w:val="22"/>
        </w:rPr>
      </w:pPr>
    </w:p>
    <w:sectPr w:rsidR="00D27BE4" w:rsidRPr="00A74781" w:rsidSect="00A74781">
      <w:headerReference w:type="default" r:id="rId8"/>
      <w:pgSz w:w="11907" w:h="16840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54" w:rsidRDefault="00342254">
      <w:r>
        <w:separator/>
      </w:r>
    </w:p>
  </w:endnote>
  <w:endnote w:type="continuationSeparator" w:id="0">
    <w:p w:rsidR="00342254" w:rsidRDefault="0034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54" w:rsidRDefault="00342254">
      <w:r>
        <w:separator/>
      </w:r>
    </w:p>
  </w:footnote>
  <w:footnote w:type="continuationSeparator" w:id="0">
    <w:p w:rsidR="00342254" w:rsidRDefault="00342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F7F" w:rsidRPr="00A74781" w:rsidRDefault="00D12B66" w:rsidP="00D27BE4">
    <w:pPr>
      <w:pStyle w:val="Header"/>
      <w:ind w:firstLine="2880"/>
      <w:rPr>
        <w:rFonts w:cs="Arial"/>
        <w:b/>
        <w:sz w:val="22"/>
        <w:szCs w:val="22"/>
        <w:u w:val="single"/>
      </w:rPr>
    </w:pPr>
    <w:r>
      <w:rPr>
        <w:rFonts w:cs="Arial"/>
        <w:noProof/>
        <w:sz w:val="22"/>
        <w:szCs w:val="22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1" name="Picture 2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1F7F" w:rsidRPr="00A74781">
      <w:rPr>
        <w:rFonts w:cs="Arial"/>
        <w:b/>
        <w:sz w:val="22"/>
        <w:szCs w:val="22"/>
        <w:u w:val="single"/>
      </w:rPr>
      <w:t>Cabinet – August 2010</w:t>
    </w:r>
  </w:p>
  <w:p w:rsidR="00401F7F" w:rsidRPr="00A74781" w:rsidRDefault="00401F7F" w:rsidP="00D27BE4">
    <w:pPr>
      <w:pStyle w:val="Header"/>
      <w:rPr>
        <w:rFonts w:cs="Arial"/>
        <w:b/>
        <w:sz w:val="22"/>
        <w:szCs w:val="22"/>
        <w:u w:val="single"/>
      </w:rPr>
    </w:pPr>
  </w:p>
  <w:p w:rsidR="00401F7F" w:rsidRPr="00A74781" w:rsidRDefault="00401F7F" w:rsidP="00D27BE4">
    <w:pPr>
      <w:pStyle w:val="Header"/>
      <w:rPr>
        <w:rFonts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State">
        <w:r w:rsidRPr="00A74781">
          <w:rPr>
            <w:rFonts w:cs="Arial"/>
            <w:b/>
            <w:sz w:val="22"/>
            <w:szCs w:val="22"/>
            <w:u w:val="single"/>
          </w:rPr>
          <w:t>Queensland</w:t>
        </w:r>
      </w:smartTag>
    </w:smartTag>
    <w:r w:rsidRPr="00A74781">
      <w:rPr>
        <w:rFonts w:cs="Arial"/>
        <w:b/>
        <w:sz w:val="22"/>
        <w:szCs w:val="22"/>
        <w:u w:val="single"/>
      </w:rPr>
      <w:t xml:space="preserve"> Government response to the </w:t>
    </w:r>
    <w:r w:rsidRPr="00A74781">
      <w:rPr>
        <w:rFonts w:cs="Arial"/>
        <w:b/>
        <w:i/>
        <w:sz w:val="22"/>
        <w:szCs w:val="22"/>
        <w:u w:val="single"/>
      </w:rPr>
      <w:t>Review of the Biodiscovery Act 2004 (Qld)</w:t>
    </w:r>
    <w:r w:rsidRPr="00A74781">
      <w:rPr>
        <w:rFonts w:cs="Arial"/>
        <w:b/>
        <w:sz w:val="22"/>
        <w:szCs w:val="22"/>
        <w:u w:val="single"/>
      </w:rPr>
      <w:t xml:space="preserve"> </w:t>
    </w:r>
  </w:p>
  <w:p w:rsidR="00401F7F" w:rsidRPr="00A74781" w:rsidRDefault="00401F7F" w:rsidP="00D27BE4">
    <w:pPr>
      <w:pStyle w:val="Header"/>
      <w:rPr>
        <w:rFonts w:cs="Arial"/>
        <w:b/>
        <w:sz w:val="22"/>
        <w:szCs w:val="22"/>
        <w:u w:val="single"/>
      </w:rPr>
    </w:pPr>
  </w:p>
  <w:p w:rsidR="00401F7F" w:rsidRPr="00A74781" w:rsidRDefault="00401F7F" w:rsidP="00D27BE4">
    <w:pPr>
      <w:pStyle w:val="Header"/>
      <w:rPr>
        <w:rFonts w:cs="Arial"/>
        <w:b/>
        <w:sz w:val="22"/>
        <w:szCs w:val="22"/>
        <w:u w:val="single"/>
      </w:rPr>
    </w:pPr>
    <w:r w:rsidRPr="00A74781">
      <w:rPr>
        <w:rFonts w:cs="Arial"/>
        <w:b/>
        <w:sz w:val="22"/>
        <w:szCs w:val="22"/>
        <w:u w:val="single"/>
      </w:rPr>
      <w:t>Treasurer and Minister for Employment and Economic Development</w:t>
    </w:r>
  </w:p>
  <w:p w:rsidR="00401F7F" w:rsidRPr="00A74781" w:rsidRDefault="00401F7F" w:rsidP="00D27BE4">
    <w:pPr>
      <w:pStyle w:val="Header"/>
      <w:rPr>
        <w:rFonts w:cs="Arial"/>
        <w:b/>
        <w:sz w:val="22"/>
        <w:szCs w:val="22"/>
        <w:u w:val="single"/>
      </w:rPr>
    </w:pPr>
    <w:r w:rsidRPr="00A74781">
      <w:rPr>
        <w:rFonts w:cs="Arial"/>
        <w:b/>
        <w:sz w:val="22"/>
        <w:szCs w:val="22"/>
        <w:u w:val="single"/>
      </w:rPr>
      <w:t>Minister for Climate Change and Sustainability</w:t>
    </w:r>
  </w:p>
  <w:p w:rsidR="00401F7F" w:rsidRPr="00A74781" w:rsidRDefault="00401F7F" w:rsidP="00D27BE4">
    <w:pPr>
      <w:pStyle w:val="Header"/>
      <w:pBdr>
        <w:bottom w:val="single" w:sz="8" w:space="1" w:color="auto"/>
      </w:pBdr>
      <w:spacing w:line="180" w:lineRule="exact"/>
      <w:rPr>
        <w:rFonts w:cs="Arial"/>
        <w:sz w:val="22"/>
        <w:szCs w:val="22"/>
      </w:rPr>
    </w:pPr>
  </w:p>
  <w:p w:rsidR="00401F7F" w:rsidRPr="00A74781" w:rsidRDefault="00401F7F" w:rsidP="00AB3977">
    <w:pPr>
      <w:pStyle w:val="Header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63C"/>
    <w:multiLevelType w:val="hybridMultilevel"/>
    <w:tmpl w:val="9A5C6A4C"/>
    <w:lvl w:ilvl="0" w:tplc="3BCA397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056E85C">
      <w:start w:val="1"/>
      <w:numFmt w:val="bullet"/>
      <w:lvlText w:val=""/>
      <w:lvlJc w:val="left"/>
      <w:pPr>
        <w:tabs>
          <w:tab w:val="num" w:pos="870"/>
        </w:tabs>
        <w:ind w:left="870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AF3E8DCA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b w:val="0"/>
        <w:i w:val="0"/>
        <w:sz w:val="24"/>
        <w:szCs w:val="24"/>
      </w:rPr>
    </w:lvl>
    <w:lvl w:ilvl="3" w:tplc="0C09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 w15:restartNumberingAfterBreak="0">
    <w:nsid w:val="0FC35E0E"/>
    <w:multiLevelType w:val="multilevel"/>
    <w:tmpl w:val="C00C2D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­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20FD"/>
    <w:multiLevelType w:val="hybridMultilevel"/>
    <w:tmpl w:val="8CE22F54"/>
    <w:lvl w:ilvl="0" w:tplc="FAC05AA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6154"/>
    <w:multiLevelType w:val="hybridMultilevel"/>
    <w:tmpl w:val="5B401212"/>
    <w:lvl w:ilvl="0" w:tplc="549A2BB4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color w:val="auto"/>
        <w:sz w:val="22"/>
        <w:szCs w:val="24"/>
      </w:rPr>
    </w:lvl>
    <w:lvl w:ilvl="1" w:tplc="549A2BB4">
      <w:start w:val="1"/>
      <w:numFmt w:val="bullet"/>
      <w:lvlText w:val=""/>
      <w:lvlJc w:val="left"/>
      <w:pPr>
        <w:tabs>
          <w:tab w:val="num" w:pos="1644"/>
        </w:tabs>
        <w:ind w:left="1644" w:hanging="357"/>
      </w:pPr>
      <w:rPr>
        <w:rFonts w:ascii="Symbol" w:hAnsi="Symbol" w:hint="default"/>
        <w:b w:val="0"/>
        <w:i w:val="0"/>
        <w:color w:val="auto"/>
        <w:sz w:val="22"/>
        <w:szCs w:val="24"/>
      </w:rPr>
    </w:lvl>
    <w:lvl w:ilvl="2" w:tplc="AF3E8DCA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75F4F22"/>
    <w:multiLevelType w:val="hybridMultilevel"/>
    <w:tmpl w:val="D12895BC"/>
    <w:lvl w:ilvl="0" w:tplc="DAFECEC0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B1232B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0C090003">
      <w:start w:val="1"/>
      <w:numFmt w:val="bullet"/>
      <w:lvlText w:val="o"/>
      <w:lvlJc w:val="left"/>
      <w:pPr>
        <w:tabs>
          <w:tab w:val="num" w:pos="2907"/>
        </w:tabs>
        <w:ind w:left="2907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294047D1"/>
    <w:multiLevelType w:val="hybridMultilevel"/>
    <w:tmpl w:val="774868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46C43C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546DDC"/>
    <w:multiLevelType w:val="hybridMultilevel"/>
    <w:tmpl w:val="9F1ED00E"/>
    <w:lvl w:ilvl="0" w:tplc="549A2BB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2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D7EA7"/>
    <w:multiLevelType w:val="hybridMultilevel"/>
    <w:tmpl w:val="3A60CFD4"/>
    <w:lvl w:ilvl="0" w:tplc="0958C15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4698F"/>
    <w:multiLevelType w:val="hybridMultilevel"/>
    <w:tmpl w:val="70A01726"/>
    <w:lvl w:ilvl="0" w:tplc="5AAAA1A0">
      <w:start w:val="1"/>
      <w:numFmt w:val="lowerRoman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9EB2113"/>
    <w:multiLevelType w:val="hybridMultilevel"/>
    <w:tmpl w:val="28885BF2"/>
    <w:lvl w:ilvl="0" w:tplc="549A2BB4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color w:val="auto"/>
        <w:sz w:val="22"/>
        <w:szCs w:val="24"/>
      </w:rPr>
    </w:lvl>
    <w:lvl w:ilvl="1" w:tplc="0B1232B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AF3E8DCA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407D3C31"/>
    <w:multiLevelType w:val="hybridMultilevel"/>
    <w:tmpl w:val="BBAC3052"/>
    <w:lvl w:ilvl="0" w:tplc="40126C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25A6362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F52F53"/>
    <w:multiLevelType w:val="hybridMultilevel"/>
    <w:tmpl w:val="8E782224"/>
    <w:lvl w:ilvl="0" w:tplc="0B1232B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2286E784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B1232B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9754B"/>
    <w:multiLevelType w:val="hybridMultilevel"/>
    <w:tmpl w:val="F284422A"/>
    <w:lvl w:ilvl="0" w:tplc="3BCA397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056E85C">
      <w:start w:val="1"/>
      <w:numFmt w:val="bullet"/>
      <w:lvlText w:val=""/>
      <w:lvlJc w:val="left"/>
      <w:pPr>
        <w:tabs>
          <w:tab w:val="num" w:pos="870"/>
        </w:tabs>
        <w:ind w:left="870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B1232B0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  <w:b w:val="0"/>
        <w:i w:val="0"/>
        <w:sz w:val="24"/>
        <w:szCs w:val="24"/>
      </w:rPr>
    </w:lvl>
    <w:lvl w:ilvl="3" w:tplc="0C09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  <w:b w:val="0"/>
        <w:i w:val="0"/>
        <w:sz w:val="24"/>
        <w:szCs w:val="24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 w15:restartNumberingAfterBreak="0">
    <w:nsid w:val="4F536630"/>
    <w:multiLevelType w:val="hybridMultilevel"/>
    <w:tmpl w:val="754C7088"/>
    <w:lvl w:ilvl="0" w:tplc="86389694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847279F6">
      <w:start w:val="1"/>
      <w:numFmt w:val="bullet"/>
      <w:lvlText w:val=""/>
      <w:lvlJc w:val="left"/>
      <w:pPr>
        <w:tabs>
          <w:tab w:val="num" w:pos="1644"/>
        </w:tabs>
        <w:ind w:left="1644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C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1252D5C"/>
    <w:multiLevelType w:val="hybridMultilevel"/>
    <w:tmpl w:val="24425CFA"/>
    <w:lvl w:ilvl="0" w:tplc="72887086">
      <w:start w:val="1"/>
      <w:numFmt w:val="lowerRoman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64780ED2"/>
    <w:multiLevelType w:val="multilevel"/>
    <w:tmpl w:val="44E42E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­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2654D"/>
    <w:multiLevelType w:val="hybridMultilevel"/>
    <w:tmpl w:val="CC42B6F0"/>
    <w:lvl w:ilvl="0" w:tplc="C6043CEC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41EF3"/>
    <w:multiLevelType w:val="multilevel"/>
    <w:tmpl w:val="8084DD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­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113A3"/>
    <w:multiLevelType w:val="hybridMultilevel"/>
    <w:tmpl w:val="AEA8016A"/>
    <w:lvl w:ilvl="0" w:tplc="64E289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9"/>
  </w:num>
  <w:num w:numId="5">
    <w:abstractNumId w:val="5"/>
  </w:num>
  <w:num w:numId="6">
    <w:abstractNumId w:val="10"/>
  </w:num>
  <w:num w:numId="7">
    <w:abstractNumId w:val="15"/>
  </w:num>
  <w:num w:numId="8">
    <w:abstractNumId w:val="1"/>
  </w:num>
  <w:num w:numId="9">
    <w:abstractNumId w:val="17"/>
  </w:num>
  <w:num w:numId="10">
    <w:abstractNumId w:val="14"/>
  </w:num>
  <w:num w:numId="11">
    <w:abstractNumId w:val="4"/>
  </w:num>
  <w:num w:numId="12">
    <w:abstractNumId w:val="12"/>
  </w:num>
  <w:num w:numId="13">
    <w:abstractNumId w:val="13"/>
  </w:num>
  <w:num w:numId="14">
    <w:abstractNumId w:val="8"/>
  </w:num>
  <w:num w:numId="15">
    <w:abstractNumId w:val="11"/>
  </w:num>
  <w:num w:numId="16">
    <w:abstractNumId w:val="6"/>
  </w:num>
  <w:num w:numId="17">
    <w:abstractNumId w:val="16"/>
  </w:num>
  <w:num w:numId="18">
    <w:abstractNumId w:val="2"/>
  </w:num>
  <w:num w:numId="19">
    <w:abstractNumId w:val="3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0"/>
    <w:rsid w:val="00003F26"/>
    <w:rsid w:val="00004EBA"/>
    <w:rsid w:val="000077D8"/>
    <w:rsid w:val="00007DAD"/>
    <w:rsid w:val="00007DBC"/>
    <w:rsid w:val="000157AE"/>
    <w:rsid w:val="000173E4"/>
    <w:rsid w:val="00017BCF"/>
    <w:rsid w:val="00020403"/>
    <w:rsid w:val="000223C2"/>
    <w:rsid w:val="000228B6"/>
    <w:rsid w:val="0002555C"/>
    <w:rsid w:val="00025949"/>
    <w:rsid w:val="00031DCE"/>
    <w:rsid w:val="00042DCD"/>
    <w:rsid w:val="00045655"/>
    <w:rsid w:val="00057EF7"/>
    <w:rsid w:val="00062293"/>
    <w:rsid w:val="00064C05"/>
    <w:rsid w:val="00066914"/>
    <w:rsid w:val="00071E72"/>
    <w:rsid w:val="000749AC"/>
    <w:rsid w:val="00082DA8"/>
    <w:rsid w:val="000831E7"/>
    <w:rsid w:val="00084AB1"/>
    <w:rsid w:val="00092C9C"/>
    <w:rsid w:val="00094A50"/>
    <w:rsid w:val="000972AB"/>
    <w:rsid w:val="000A0635"/>
    <w:rsid w:val="000A2565"/>
    <w:rsid w:val="000A27C5"/>
    <w:rsid w:val="000A29F4"/>
    <w:rsid w:val="000A67D4"/>
    <w:rsid w:val="000C0911"/>
    <w:rsid w:val="000C4909"/>
    <w:rsid w:val="000C7792"/>
    <w:rsid w:val="000D0D2F"/>
    <w:rsid w:val="000D1826"/>
    <w:rsid w:val="000D4A78"/>
    <w:rsid w:val="000E11BA"/>
    <w:rsid w:val="000E1A0E"/>
    <w:rsid w:val="000E5527"/>
    <w:rsid w:val="000E5CCC"/>
    <w:rsid w:val="000E7949"/>
    <w:rsid w:val="000E7B25"/>
    <w:rsid w:val="001010EE"/>
    <w:rsid w:val="00103D29"/>
    <w:rsid w:val="00105087"/>
    <w:rsid w:val="0010528A"/>
    <w:rsid w:val="001126F1"/>
    <w:rsid w:val="00113059"/>
    <w:rsid w:val="00115D27"/>
    <w:rsid w:val="00117FF0"/>
    <w:rsid w:val="001207BF"/>
    <w:rsid w:val="00122C56"/>
    <w:rsid w:val="00123D69"/>
    <w:rsid w:val="00125CF7"/>
    <w:rsid w:val="00126276"/>
    <w:rsid w:val="00130A75"/>
    <w:rsid w:val="00132C54"/>
    <w:rsid w:val="00134281"/>
    <w:rsid w:val="00136E28"/>
    <w:rsid w:val="00140277"/>
    <w:rsid w:val="001415FA"/>
    <w:rsid w:val="001442AD"/>
    <w:rsid w:val="001517FA"/>
    <w:rsid w:val="00157CF9"/>
    <w:rsid w:val="001607FD"/>
    <w:rsid w:val="00167B65"/>
    <w:rsid w:val="001703DD"/>
    <w:rsid w:val="001708EE"/>
    <w:rsid w:val="00180314"/>
    <w:rsid w:val="0018160A"/>
    <w:rsid w:val="00181B35"/>
    <w:rsid w:val="00183756"/>
    <w:rsid w:val="0018514C"/>
    <w:rsid w:val="001869AF"/>
    <w:rsid w:val="001958BE"/>
    <w:rsid w:val="00196032"/>
    <w:rsid w:val="001A400C"/>
    <w:rsid w:val="001B0B4D"/>
    <w:rsid w:val="001B64F1"/>
    <w:rsid w:val="001B671B"/>
    <w:rsid w:val="001B7B2A"/>
    <w:rsid w:val="001C604A"/>
    <w:rsid w:val="001D1FCB"/>
    <w:rsid w:val="001E343B"/>
    <w:rsid w:val="001E4087"/>
    <w:rsid w:val="001E6CAE"/>
    <w:rsid w:val="001F2B6C"/>
    <w:rsid w:val="001F30D4"/>
    <w:rsid w:val="001F3689"/>
    <w:rsid w:val="001F4CBF"/>
    <w:rsid w:val="001F7568"/>
    <w:rsid w:val="0021169A"/>
    <w:rsid w:val="00223802"/>
    <w:rsid w:val="0022569B"/>
    <w:rsid w:val="00226D90"/>
    <w:rsid w:val="00230D6A"/>
    <w:rsid w:val="002321FE"/>
    <w:rsid w:val="00233378"/>
    <w:rsid w:val="002366EC"/>
    <w:rsid w:val="00236C8A"/>
    <w:rsid w:val="00237C1F"/>
    <w:rsid w:val="00241677"/>
    <w:rsid w:val="0024540E"/>
    <w:rsid w:val="002459C6"/>
    <w:rsid w:val="00250D85"/>
    <w:rsid w:val="0025178F"/>
    <w:rsid w:val="00254494"/>
    <w:rsid w:val="002610E8"/>
    <w:rsid w:val="002646D0"/>
    <w:rsid w:val="00264EA1"/>
    <w:rsid w:val="002672C3"/>
    <w:rsid w:val="002700F2"/>
    <w:rsid w:val="0027708A"/>
    <w:rsid w:val="00286936"/>
    <w:rsid w:val="00290B8C"/>
    <w:rsid w:val="00293917"/>
    <w:rsid w:val="002A0FF9"/>
    <w:rsid w:val="002A2767"/>
    <w:rsid w:val="002A2EF2"/>
    <w:rsid w:val="002A77DB"/>
    <w:rsid w:val="002B1BDE"/>
    <w:rsid w:val="002B6E0C"/>
    <w:rsid w:val="002B72B6"/>
    <w:rsid w:val="002C77D8"/>
    <w:rsid w:val="002C7E52"/>
    <w:rsid w:val="002D040B"/>
    <w:rsid w:val="002D2AED"/>
    <w:rsid w:val="002D2C70"/>
    <w:rsid w:val="002D6F71"/>
    <w:rsid w:val="002E098C"/>
    <w:rsid w:val="002E29E3"/>
    <w:rsid w:val="002E3F0E"/>
    <w:rsid w:val="002E5C4C"/>
    <w:rsid w:val="002F041F"/>
    <w:rsid w:val="002F2126"/>
    <w:rsid w:val="002F397E"/>
    <w:rsid w:val="002F71E6"/>
    <w:rsid w:val="00305ACE"/>
    <w:rsid w:val="00306DC4"/>
    <w:rsid w:val="00313368"/>
    <w:rsid w:val="00320F61"/>
    <w:rsid w:val="00322421"/>
    <w:rsid w:val="00324EF1"/>
    <w:rsid w:val="00334EA2"/>
    <w:rsid w:val="00335AD1"/>
    <w:rsid w:val="00337D27"/>
    <w:rsid w:val="00342254"/>
    <w:rsid w:val="0034444D"/>
    <w:rsid w:val="00351447"/>
    <w:rsid w:val="00354092"/>
    <w:rsid w:val="00356404"/>
    <w:rsid w:val="003577EC"/>
    <w:rsid w:val="003639A5"/>
    <w:rsid w:val="00363C23"/>
    <w:rsid w:val="00366EED"/>
    <w:rsid w:val="00370FFB"/>
    <w:rsid w:val="00372408"/>
    <w:rsid w:val="00373C36"/>
    <w:rsid w:val="00377566"/>
    <w:rsid w:val="00386753"/>
    <w:rsid w:val="0038756E"/>
    <w:rsid w:val="003933E9"/>
    <w:rsid w:val="00394A5D"/>
    <w:rsid w:val="003A02F2"/>
    <w:rsid w:val="003A08D1"/>
    <w:rsid w:val="003A226B"/>
    <w:rsid w:val="003A538F"/>
    <w:rsid w:val="003A5E77"/>
    <w:rsid w:val="003B1409"/>
    <w:rsid w:val="003C4633"/>
    <w:rsid w:val="003C4B64"/>
    <w:rsid w:val="003C6D44"/>
    <w:rsid w:val="003C7675"/>
    <w:rsid w:val="003D00DA"/>
    <w:rsid w:val="003D168A"/>
    <w:rsid w:val="003E1019"/>
    <w:rsid w:val="003E3BC7"/>
    <w:rsid w:val="003E571C"/>
    <w:rsid w:val="003E7771"/>
    <w:rsid w:val="003F0152"/>
    <w:rsid w:val="003F196F"/>
    <w:rsid w:val="003F1C10"/>
    <w:rsid w:val="003F3D5A"/>
    <w:rsid w:val="00401F7F"/>
    <w:rsid w:val="00402AA9"/>
    <w:rsid w:val="00402BF7"/>
    <w:rsid w:val="00403495"/>
    <w:rsid w:val="00405065"/>
    <w:rsid w:val="004102CE"/>
    <w:rsid w:val="00410E92"/>
    <w:rsid w:val="0041118E"/>
    <w:rsid w:val="00414E30"/>
    <w:rsid w:val="00416F8A"/>
    <w:rsid w:val="004170EE"/>
    <w:rsid w:val="00421300"/>
    <w:rsid w:val="0042158C"/>
    <w:rsid w:val="004236DD"/>
    <w:rsid w:val="00427209"/>
    <w:rsid w:val="00432ED3"/>
    <w:rsid w:val="00441A0E"/>
    <w:rsid w:val="00442A8B"/>
    <w:rsid w:val="00442D25"/>
    <w:rsid w:val="00445858"/>
    <w:rsid w:val="00445D7A"/>
    <w:rsid w:val="004548DB"/>
    <w:rsid w:val="00454DA8"/>
    <w:rsid w:val="0045543B"/>
    <w:rsid w:val="00462059"/>
    <w:rsid w:val="00463535"/>
    <w:rsid w:val="004651F9"/>
    <w:rsid w:val="00472197"/>
    <w:rsid w:val="00476AED"/>
    <w:rsid w:val="0047706D"/>
    <w:rsid w:val="0048192A"/>
    <w:rsid w:val="00482B84"/>
    <w:rsid w:val="00483ADC"/>
    <w:rsid w:val="0048701C"/>
    <w:rsid w:val="0049014B"/>
    <w:rsid w:val="00490828"/>
    <w:rsid w:val="00491709"/>
    <w:rsid w:val="004927A4"/>
    <w:rsid w:val="00494A49"/>
    <w:rsid w:val="00495889"/>
    <w:rsid w:val="004B10FB"/>
    <w:rsid w:val="004B28D8"/>
    <w:rsid w:val="004B532F"/>
    <w:rsid w:val="004B6564"/>
    <w:rsid w:val="004B66D7"/>
    <w:rsid w:val="004B6AC7"/>
    <w:rsid w:val="004B77FD"/>
    <w:rsid w:val="004C4044"/>
    <w:rsid w:val="004D4C76"/>
    <w:rsid w:val="004D4F9D"/>
    <w:rsid w:val="004D5424"/>
    <w:rsid w:val="004D755A"/>
    <w:rsid w:val="004E317B"/>
    <w:rsid w:val="004E6141"/>
    <w:rsid w:val="004E6AA3"/>
    <w:rsid w:val="00501C0E"/>
    <w:rsid w:val="005020C4"/>
    <w:rsid w:val="00506D2B"/>
    <w:rsid w:val="0051566E"/>
    <w:rsid w:val="00520217"/>
    <w:rsid w:val="00521C91"/>
    <w:rsid w:val="00523FC0"/>
    <w:rsid w:val="0052423B"/>
    <w:rsid w:val="00525603"/>
    <w:rsid w:val="00526A80"/>
    <w:rsid w:val="005327E3"/>
    <w:rsid w:val="005356C2"/>
    <w:rsid w:val="00535798"/>
    <w:rsid w:val="00537591"/>
    <w:rsid w:val="005419B0"/>
    <w:rsid w:val="00543CCC"/>
    <w:rsid w:val="0055185B"/>
    <w:rsid w:val="005565BC"/>
    <w:rsid w:val="00556601"/>
    <w:rsid w:val="005610A2"/>
    <w:rsid w:val="005613E9"/>
    <w:rsid w:val="005630BC"/>
    <w:rsid w:val="00563BD0"/>
    <w:rsid w:val="00570924"/>
    <w:rsid w:val="005801E9"/>
    <w:rsid w:val="00585F9B"/>
    <w:rsid w:val="00587601"/>
    <w:rsid w:val="00595B6C"/>
    <w:rsid w:val="00597113"/>
    <w:rsid w:val="005977EA"/>
    <w:rsid w:val="005A12C4"/>
    <w:rsid w:val="005A2774"/>
    <w:rsid w:val="005A2933"/>
    <w:rsid w:val="005A334E"/>
    <w:rsid w:val="005A379A"/>
    <w:rsid w:val="005A5D14"/>
    <w:rsid w:val="005A6173"/>
    <w:rsid w:val="005A78E6"/>
    <w:rsid w:val="005B1369"/>
    <w:rsid w:val="005B3646"/>
    <w:rsid w:val="005B5FE2"/>
    <w:rsid w:val="005C4DB8"/>
    <w:rsid w:val="005D097F"/>
    <w:rsid w:val="005D2B8B"/>
    <w:rsid w:val="005D3543"/>
    <w:rsid w:val="005D44BF"/>
    <w:rsid w:val="005E1143"/>
    <w:rsid w:val="005E1CFE"/>
    <w:rsid w:val="005E2CA1"/>
    <w:rsid w:val="005E4B11"/>
    <w:rsid w:val="005E4C44"/>
    <w:rsid w:val="005E51CD"/>
    <w:rsid w:val="005E6393"/>
    <w:rsid w:val="005F52A1"/>
    <w:rsid w:val="0060338F"/>
    <w:rsid w:val="00607F53"/>
    <w:rsid w:val="006139D0"/>
    <w:rsid w:val="00622444"/>
    <w:rsid w:val="0062262C"/>
    <w:rsid w:val="00624CE9"/>
    <w:rsid w:val="0062644E"/>
    <w:rsid w:val="00627CD4"/>
    <w:rsid w:val="00637815"/>
    <w:rsid w:val="0064114C"/>
    <w:rsid w:val="006413D9"/>
    <w:rsid w:val="00646165"/>
    <w:rsid w:val="00651C9C"/>
    <w:rsid w:val="00652A78"/>
    <w:rsid w:val="00653D4C"/>
    <w:rsid w:val="006612B6"/>
    <w:rsid w:val="00662A90"/>
    <w:rsid w:val="006641A5"/>
    <w:rsid w:val="006720F0"/>
    <w:rsid w:val="00673D0A"/>
    <w:rsid w:val="00675E31"/>
    <w:rsid w:val="006801FA"/>
    <w:rsid w:val="00684140"/>
    <w:rsid w:val="00685FC6"/>
    <w:rsid w:val="00692615"/>
    <w:rsid w:val="006949B6"/>
    <w:rsid w:val="006A2837"/>
    <w:rsid w:val="006A29AC"/>
    <w:rsid w:val="006A609D"/>
    <w:rsid w:val="006B0D73"/>
    <w:rsid w:val="006B7ECF"/>
    <w:rsid w:val="006D3878"/>
    <w:rsid w:val="006E2526"/>
    <w:rsid w:val="006E37C2"/>
    <w:rsid w:val="006E7E7E"/>
    <w:rsid w:val="006F3450"/>
    <w:rsid w:val="006F4DF4"/>
    <w:rsid w:val="006F5DF7"/>
    <w:rsid w:val="006F6733"/>
    <w:rsid w:val="00701F47"/>
    <w:rsid w:val="00714B23"/>
    <w:rsid w:val="00716E6F"/>
    <w:rsid w:val="007172FF"/>
    <w:rsid w:val="00717C17"/>
    <w:rsid w:val="00721B98"/>
    <w:rsid w:val="007241CA"/>
    <w:rsid w:val="0073172D"/>
    <w:rsid w:val="00732450"/>
    <w:rsid w:val="00745EA4"/>
    <w:rsid w:val="0075056F"/>
    <w:rsid w:val="00752D05"/>
    <w:rsid w:val="00753600"/>
    <w:rsid w:val="00754AFE"/>
    <w:rsid w:val="007561FD"/>
    <w:rsid w:val="00763EF9"/>
    <w:rsid w:val="00767AC6"/>
    <w:rsid w:val="00772C3E"/>
    <w:rsid w:val="007809A8"/>
    <w:rsid w:val="00785274"/>
    <w:rsid w:val="0078539C"/>
    <w:rsid w:val="00785CDF"/>
    <w:rsid w:val="00791626"/>
    <w:rsid w:val="007929EC"/>
    <w:rsid w:val="007938CE"/>
    <w:rsid w:val="00797160"/>
    <w:rsid w:val="007A4506"/>
    <w:rsid w:val="007B0D51"/>
    <w:rsid w:val="007B1FA7"/>
    <w:rsid w:val="007B6303"/>
    <w:rsid w:val="007D4AF9"/>
    <w:rsid w:val="007D674A"/>
    <w:rsid w:val="007E4316"/>
    <w:rsid w:val="007E4878"/>
    <w:rsid w:val="007E49D1"/>
    <w:rsid w:val="007F1BDB"/>
    <w:rsid w:val="007F3CC2"/>
    <w:rsid w:val="00803D4D"/>
    <w:rsid w:val="00803E9A"/>
    <w:rsid w:val="00804D3F"/>
    <w:rsid w:val="00812CAD"/>
    <w:rsid w:val="00816AB8"/>
    <w:rsid w:val="00817862"/>
    <w:rsid w:val="00822745"/>
    <w:rsid w:val="008263BE"/>
    <w:rsid w:val="00834194"/>
    <w:rsid w:val="008348C9"/>
    <w:rsid w:val="00834E31"/>
    <w:rsid w:val="008414A1"/>
    <w:rsid w:val="00843901"/>
    <w:rsid w:val="00843C44"/>
    <w:rsid w:val="008466F1"/>
    <w:rsid w:val="00851226"/>
    <w:rsid w:val="00851C19"/>
    <w:rsid w:val="00851CB0"/>
    <w:rsid w:val="0085318D"/>
    <w:rsid w:val="008557F3"/>
    <w:rsid w:val="00856401"/>
    <w:rsid w:val="00857DA5"/>
    <w:rsid w:val="00861445"/>
    <w:rsid w:val="00862601"/>
    <w:rsid w:val="00862A6F"/>
    <w:rsid w:val="0086398C"/>
    <w:rsid w:val="00866141"/>
    <w:rsid w:val="00867151"/>
    <w:rsid w:val="00867AB4"/>
    <w:rsid w:val="00870E59"/>
    <w:rsid w:val="00873C66"/>
    <w:rsid w:val="00874D90"/>
    <w:rsid w:val="00875551"/>
    <w:rsid w:val="008807DC"/>
    <w:rsid w:val="0088373D"/>
    <w:rsid w:val="0088508C"/>
    <w:rsid w:val="00887C35"/>
    <w:rsid w:val="00892513"/>
    <w:rsid w:val="008935D7"/>
    <w:rsid w:val="0089578A"/>
    <w:rsid w:val="00896A4A"/>
    <w:rsid w:val="00897F88"/>
    <w:rsid w:val="008A2960"/>
    <w:rsid w:val="008A4692"/>
    <w:rsid w:val="008A69E4"/>
    <w:rsid w:val="008C0896"/>
    <w:rsid w:val="008C1F51"/>
    <w:rsid w:val="008C1F81"/>
    <w:rsid w:val="008C42F4"/>
    <w:rsid w:val="008C43F9"/>
    <w:rsid w:val="008C7AA5"/>
    <w:rsid w:val="008D0301"/>
    <w:rsid w:val="008D6474"/>
    <w:rsid w:val="008F036A"/>
    <w:rsid w:val="008F1713"/>
    <w:rsid w:val="00900228"/>
    <w:rsid w:val="00902B5A"/>
    <w:rsid w:val="00906EE8"/>
    <w:rsid w:val="00910477"/>
    <w:rsid w:val="0091184D"/>
    <w:rsid w:val="009140BC"/>
    <w:rsid w:val="0092095A"/>
    <w:rsid w:val="009211EF"/>
    <w:rsid w:val="00933E17"/>
    <w:rsid w:val="009340E0"/>
    <w:rsid w:val="009342A8"/>
    <w:rsid w:val="009348FC"/>
    <w:rsid w:val="00936DE4"/>
    <w:rsid w:val="00937080"/>
    <w:rsid w:val="00940F42"/>
    <w:rsid w:val="00941E86"/>
    <w:rsid w:val="009435E1"/>
    <w:rsid w:val="00945F1F"/>
    <w:rsid w:val="0094720F"/>
    <w:rsid w:val="00951B95"/>
    <w:rsid w:val="009553C5"/>
    <w:rsid w:val="00955BD4"/>
    <w:rsid w:val="009565D7"/>
    <w:rsid w:val="00957B84"/>
    <w:rsid w:val="00957CBB"/>
    <w:rsid w:val="0096038E"/>
    <w:rsid w:val="009610B2"/>
    <w:rsid w:val="009721CD"/>
    <w:rsid w:val="00974724"/>
    <w:rsid w:val="00975D55"/>
    <w:rsid w:val="00977252"/>
    <w:rsid w:val="00985D14"/>
    <w:rsid w:val="00986AEE"/>
    <w:rsid w:val="00986BE8"/>
    <w:rsid w:val="00986EF4"/>
    <w:rsid w:val="00987D04"/>
    <w:rsid w:val="009929FA"/>
    <w:rsid w:val="009953C6"/>
    <w:rsid w:val="009962F7"/>
    <w:rsid w:val="0099740F"/>
    <w:rsid w:val="00997810"/>
    <w:rsid w:val="009A1FF6"/>
    <w:rsid w:val="009A225D"/>
    <w:rsid w:val="009A53E1"/>
    <w:rsid w:val="009B10A8"/>
    <w:rsid w:val="009B4906"/>
    <w:rsid w:val="009B7868"/>
    <w:rsid w:val="009C1C83"/>
    <w:rsid w:val="009C293B"/>
    <w:rsid w:val="009C7A2C"/>
    <w:rsid w:val="009D37CB"/>
    <w:rsid w:val="009D3A51"/>
    <w:rsid w:val="009E3B90"/>
    <w:rsid w:val="009E3F0D"/>
    <w:rsid w:val="009E55DB"/>
    <w:rsid w:val="009E5C41"/>
    <w:rsid w:val="009F25F7"/>
    <w:rsid w:val="009F4E90"/>
    <w:rsid w:val="00A00727"/>
    <w:rsid w:val="00A06EBC"/>
    <w:rsid w:val="00A115E0"/>
    <w:rsid w:val="00A1218D"/>
    <w:rsid w:val="00A128CE"/>
    <w:rsid w:val="00A15203"/>
    <w:rsid w:val="00A153B0"/>
    <w:rsid w:val="00A20480"/>
    <w:rsid w:val="00A21EDD"/>
    <w:rsid w:val="00A22B81"/>
    <w:rsid w:val="00A23439"/>
    <w:rsid w:val="00A2549C"/>
    <w:rsid w:val="00A332EE"/>
    <w:rsid w:val="00A35DDF"/>
    <w:rsid w:val="00A40433"/>
    <w:rsid w:val="00A415C3"/>
    <w:rsid w:val="00A41B30"/>
    <w:rsid w:val="00A43E82"/>
    <w:rsid w:val="00A45DF0"/>
    <w:rsid w:val="00A46531"/>
    <w:rsid w:val="00A533C9"/>
    <w:rsid w:val="00A54626"/>
    <w:rsid w:val="00A56667"/>
    <w:rsid w:val="00A61081"/>
    <w:rsid w:val="00A67E4A"/>
    <w:rsid w:val="00A70978"/>
    <w:rsid w:val="00A74781"/>
    <w:rsid w:val="00A77490"/>
    <w:rsid w:val="00A81190"/>
    <w:rsid w:val="00A81BCF"/>
    <w:rsid w:val="00A82350"/>
    <w:rsid w:val="00A858FF"/>
    <w:rsid w:val="00A867C2"/>
    <w:rsid w:val="00A90852"/>
    <w:rsid w:val="00A90866"/>
    <w:rsid w:val="00A91C52"/>
    <w:rsid w:val="00AA0175"/>
    <w:rsid w:val="00AA05AB"/>
    <w:rsid w:val="00AA537E"/>
    <w:rsid w:val="00AB04EC"/>
    <w:rsid w:val="00AB0F4F"/>
    <w:rsid w:val="00AB1C64"/>
    <w:rsid w:val="00AB3977"/>
    <w:rsid w:val="00AB6203"/>
    <w:rsid w:val="00AB6424"/>
    <w:rsid w:val="00AB7EA5"/>
    <w:rsid w:val="00AC1617"/>
    <w:rsid w:val="00AC30D9"/>
    <w:rsid w:val="00AC38CF"/>
    <w:rsid w:val="00AC498C"/>
    <w:rsid w:val="00AC4FFF"/>
    <w:rsid w:val="00AD23D5"/>
    <w:rsid w:val="00AD47C8"/>
    <w:rsid w:val="00AD48AB"/>
    <w:rsid w:val="00AD53F9"/>
    <w:rsid w:val="00AD5817"/>
    <w:rsid w:val="00AD5F21"/>
    <w:rsid w:val="00AE5900"/>
    <w:rsid w:val="00AF47BF"/>
    <w:rsid w:val="00AF4B31"/>
    <w:rsid w:val="00B07CF0"/>
    <w:rsid w:val="00B10D78"/>
    <w:rsid w:val="00B1407F"/>
    <w:rsid w:val="00B14F63"/>
    <w:rsid w:val="00B1740A"/>
    <w:rsid w:val="00B17500"/>
    <w:rsid w:val="00B20A73"/>
    <w:rsid w:val="00B228D3"/>
    <w:rsid w:val="00B32226"/>
    <w:rsid w:val="00B336CF"/>
    <w:rsid w:val="00B34E2C"/>
    <w:rsid w:val="00B365D7"/>
    <w:rsid w:val="00B37F2C"/>
    <w:rsid w:val="00B4737E"/>
    <w:rsid w:val="00B5062A"/>
    <w:rsid w:val="00B51E1F"/>
    <w:rsid w:val="00B5592D"/>
    <w:rsid w:val="00B62398"/>
    <w:rsid w:val="00B64E02"/>
    <w:rsid w:val="00B704C4"/>
    <w:rsid w:val="00B71DBB"/>
    <w:rsid w:val="00B72347"/>
    <w:rsid w:val="00B7333A"/>
    <w:rsid w:val="00B74B74"/>
    <w:rsid w:val="00B754BA"/>
    <w:rsid w:val="00B863A3"/>
    <w:rsid w:val="00B875C3"/>
    <w:rsid w:val="00B90A47"/>
    <w:rsid w:val="00B949C0"/>
    <w:rsid w:val="00B94D2D"/>
    <w:rsid w:val="00B961F5"/>
    <w:rsid w:val="00BA0CDA"/>
    <w:rsid w:val="00BA1D24"/>
    <w:rsid w:val="00BA2267"/>
    <w:rsid w:val="00BA2B04"/>
    <w:rsid w:val="00BA2E78"/>
    <w:rsid w:val="00BA63C3"/>
    <w:rsid w:val="00BA645C"/>
    <w:rsid w:val="00BA709A"/>
    <w:rsid w:val="00BC7C68"/>
    <w:rsid w:val="00BD45C2"/>
    <w:rsid w:val="00BD4FEA"/>
    <w:rsid w:val="00BE52FB"/>
    <w:rsid w:val="00BE7818"/>
    <w:rsid w:val="00BF0243"/>
    <w:rsid w:val="00BF07E8"/>
    <w:rsid w:val="00BF1323"/>
    <w:rsid w:val="00BF3C04"/>
    <w:rsid w:val="00BF4ED0"/>
    <w:rsid w:val="00C0018E"/>
    <w:rsid w:val="00C00A14"/>
    <w:rsid w:val="00C02007"/>
    <w:rsid w:val="00C2702A"/>
    <w:rsid w:val="00C30939"/>
    <w:rsid w:val="00C32581"/>
    <w:rsid w:val="00C33C83"/>
    <w:rsid w:val="00C3537F"/>
    <w:rsid w:val="00C418F0"/>
    <w:rsid w:val="00C47463"/>
    <w:rsid w:val="00C57AF2"/>
    <w:rsid w:val="00C616BB"/>
    <w:rsid w:val="00C6592B"/>
    <w:rsid w:val="00C75D6E"/>
    <w:rsid w:val="00C75FBB"/>
    <w:rsid w:val="00C774B8"/>
    <w:rsid w:val="00C90A9B"/>
    <w:rsid w:val="00C965DE"/>
    <w:rsid w:val="00C97B52"/>
    <w:rsid w:val="00CA20B5"/>
    <w:rsid w:val="00CA3335"/>
    <w:rsid w:val="00CA6403"/>
    <w:rsid w:val="00CB6290"/>
    <w:rsid w:val="00CB7B31"/>
    <w:rsid w:val="00CC26CF"/>
    <w:rsid w:val="00CC6F93"/>
    <w:rsid w:val="00CD12FB"/>
    <w:rsid w:val="00CE09B7"/>
    <w:rsid w:val="00CE27EC"/>
    <w:rsid w:val="00CE4C80"/>
    <w:rsid w:val="00CE5AB3"/>
    <w:rsid w:val="00CE5E0A"/>
    <w:rsid w:val="00CF0FE9"/>
    <w:rsid w:val="00CF1F65"/>
    <w:rsid w:val="00CF4E73"/>
    <w:rsid w:val="00CF726C"/>
    <w:rsid w:val="00D00FC1"/>
    <w:rsid w:val="00D0683A"/>
    <w:rsid w:val="00D10EA6"/>
    <w:rsid w:val="00D12B66"/>
    <w:rsid w:val="00D12D89"/>
    <w:rsid w:val="00D15006"/>
    <w:rsid w:val="00D1649A"/>
    <w:rsid w:val="00D16E82"/>
    <w:rsid w:val="00D206FF"/>
    <w:rsid w:val="00D23C0B"/>
    <w:rsid w:val="00D263EE"/>
    <w:rsid w:val="00D27BE4"/>
    <w:rsid w:val="00D30C6C"/>
    <w:rsid w:val="00D3132B"/>
    <w:rsid w:val="00D3188B"/>
    <w:rsid w:val="00D327E2"/>
    <w:rsid w:val="00D34C80"/>
    <w:rsid w:val="00D42368"/>
    <w:rsid w:val="00D44084"/>
    <w:rsid w:val="00D44450"/>
    <w:rsid w:val="00D57983"/>
    <w:rsid w:val="00D65320"/>
    <w:rsid w:val="00D67F4C"/>
    <w:rsid w:val="00D7750F"/>
    <w:rsid w:val="00D83E0E"/>
    <w:rsid w:val="00DA2FF4"/>
    <w:rsid w:val="00DA303C"/>
    <w:rsid w:val="00DB4799"/>
    <w:rsid w:val="00DB57FC"/>
    <w:rsid w:val="00DB61AB"/>
    <w:rsid w:val="00DB72A3"/>
    <w:rsid w:val="00DB746A"/>
    <w:rsid w:val="00DC2E0E"/>
    <w:rsid w:val="00DD00C6"/>
    <w:rsid w:val="00DD032C"/>
    <w:rsid w:val="00DD4C29"/>
    <w:rsid w:val="00DE0C89"/>
    <w:rsid w:val="00DF3626"/>
    <w:rsid w:val="00DF4103"/>
    <w:rsid w:val="00DF64EC"/>
    <w:rsid w:val="00E002CB"/>
    <w:rsid w:val="00E04016"/>
    <w:rsid w:val="00E10A68"/>
    <w:rsid w:val="00E137D5"/>
    <w:rsid w:val="00E17C13"/>
    <w:rsid w:val="00E255D7"/>
    <w:rsid w:val="00E25CE9"/>
    <w:rsid w:val="00E2750E"/>
    <w:rsid w:val="00E30DD4"/>
    <w:rsid w:val="00E3679C"/>
    <w:rsid w:val="00E36E31"/>
    <w:rsid w:val="00E375E8"/>
    <w:rsid w:val="00E40BCB"/>
    <w:rsid w:val="00E53B37"/>
    <w:rsid w:val="00E655CB"/>
    <w:rsid w:val="00E7241A"/>
    <w:rsid w:val="00E77C8A"/>
    <w:rsid w:val="00E8094A"/>
    <w:rsid w:val="00E81204"/>
    <w:rsid w:val="00E8265D"/>
    <w:rsid w:val="00E82FD5"/>
    <w:rsid w:val="00E83F9A"/>
    <w:rsid w:val="00E8686A"/>
    <w:rsid w:val="00E86BCE"/>
    <w:rsid w:val="00E90CD6"/>
    <w:rsid w:val="00E94899"/>
    <w:rsid w:val="00E96DC8"/>
    <w:rsid w:val="00EA0CC7"/>
    <w:rsid w:val="00EA4224"/>
    <w:rsid w:val="00EA448D"/>
    <w:rsid w:val="00EA4800"/>
    <w:rsid w:val="00EA6592"/>
    <w:rsid w:val="00EB00C0"/>
    <w:rsid w:val="00EB0BB8"/>
    <w:rsid w:val="00EB2EF3"/>
    <w:rsid w:val="00EB616D"/>
    <w:rsid w:val="00EB6795"/>
    <w:rsid w:val="00EC01FC"/>
    <w:rsid w:val="00EC56D9"/>
    <w:rsid w:val="00ED15AA"/>
    <w:rsid w:val="00ED2943"/>
    <w:rsid w:val="00ED2F07"/>
    <w:rsid w:val="00EE648A"/>
    <w:rsid w:val="00EF0004"/>
    <w:rsid w:val="00EF041A"/>
    <w:rsid w:val="00EF2D70"/>
    <w:rsid w:val="00EF399A"/>
    <w:rsid w:val="00EF4CFC"/>
    <w:rsid w:val="00EF7218"/>
    <w:rsid w:val="00F02632"/>
    <w:rsid w:val="00F06098"/>
    <w:rsid w:val="00F12E56"/>
    <w:rsid w:val="00F14E11"/>
    <w:rsid w:val="00F222A2"/>
    <w:rsid w:val="00F22ACF"/>
    <w:rsid w:val="00F232A4"/>
    <w:rsid w:val="00F265E2"/>
    <w:rsid w:val="00F316C9"/>
    <w:rsid w:val="00F34B13"/>
    <w:rsid w:val="00F36F29"/>
    <w:rsid w:val="00F36F4A"/>
    <w:rsid w:val="00F40167"/>
    <w:rsid w:val="00F4347D"/>
    <w:rsid w:val="00F51344"/>
    <w:rsid w:val="00F51EEB"/>
    <w:rsid w:val="00F52997"/>
    <w:rsid w:val="00F537AD"/>
    <w:rsid w:val="00F55376"/>
    <w:rsid w:val="00F607E4"/>
    <w:rsid w:val="00F62D4E"/>
    <w:rsid w:val="00F672FF"/>
    <w:rsid w:val="00F7458C"/>
    <w:rsid w:val="00F75B47"/>
    <w:rsid w:val="00F778B5"/>
    <w:rsid w:val="00F85C9A"/>
    <w:rsid w:val="00F94EF0"/>
    <w:rsid w:val="00F96257"/>
    <w:rsid w:val="00FA4143"/>
    <w:rsid w:val="00FB052C"/>
    <w:rsid w:val="00FB0576"/>
    <w:rsid w:val="00FB71B1"/>
    <w:rsid w:val="00FC156C"/>
    <w:rsid w:val="00FC1CD3"/>
    <w:rsid w:val="00FC3D91"/>
    <w:rsid w:val="00FC6553"/>
    <w:rsid w:val="00FC733E"/>
    <w:rsid w:val="00FC7E72"/>
    <w:rsid w:val="00FD191A"/>
    <w:rsid w:val="00FD4E80"/>
    <w:rsid w:val="00FE1174"/>
    <w:rsid w:val="00FE1233"/>
    <w:rsid w:val="00FE2161"/>
    <w:rsid w:val="00FE2CBF"/>
    <w:rsid w:val="00FF175C"/>
    <w:rsid w:val="00FF19AA"/>
    <w:rsid w:val="00FF2F20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10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E1019"/>
    <w:pPr>
      <w:tabs>
        <w:tab w:val="left" w:pos="1021"/>
      </w:tabs>
      <w:outlineLvl w:val="1"/>
    </w:pPr>
    <w:rPr>
      <w:rFonts w:ascii="Arial" w:hAnsi="Arial" w:cs="Arial"/>
      <w:bCs w:val="0"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0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0480"/>
  </w:style>
  <w:style w:type="table" w:styleId="TableGrid">
    <w:name w:val="Table Grid"/>
    <w:basedOn w:val="TableNormal"/>
    <w:rsid w:val="0086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616BB"/>
    <w:rPr>
      <w:color w:val="0000FF"/>
      <w:u w:val="single"/>
    </w:rPr>
  </w:style>
  <w:style w:type="paragraph" w:styleId="BalloonText">
    <w:name w:val="Balloon Text"/>
    <w:basedOn w:val="Normal"/>
    <w:semiHidden/>
    <w:rsid w:val="002672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97F88"/>
    <w:rPr>
      <w:sz w:val="16"/>
      <w:szCs w:val="16"/>
    </w:rPr>
  </w:style>
  <w:style w:type="paragraph" w:styleId="CommentText">
    <w:name w:val="annotation text"/>
    <w:basedOn w:val="Normal"/>
    <w:semiHidden/>
    <w:rsid w:val="00897F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7F88"/>
    <w:rPr>
      <w:b/>
      <w:bCs/>
    </w:rPr>
  </w:style>
  <w:style w:type="paragraph" w:styleId="ListParagraph">
    <w:name w:val="List Paragraph"/>
    <w:basedOn w:val="Normal"/>
    <w:uiPriority w:val="34"/>
    <w:qFormat/>
    <w:rsid w:val="00F94EF0"/>
    <w:pPr>
      <w:ind w:left="720"/>
    </w:pPr>
  </w:style>
  <w:style w:type="character" w:customStyle="1" w:styleId="Heading2Char">
    <w:name w:val="Heading 2 Char"/>
    <w:basedOn w:val="DefaultParagraphFont"/>
    <w:link w:val="Heading2"/>
    <w:rsid w:val="003E1019"/>
    <w:rPr>
      <w:rFonts w:ascii="Arial" w:hAnsi="Arial" w:cs="Arial"/>
      <w:b/>
      <w:iCs/>
      <w:color w:val="000000"/>
      <w:kern w:val="32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3E101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ld_Gov_Response_2009_Biodiscovery_Revi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1831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2164</CharactersWithSpaces>
  <SharedDoc>false</SharedDoc>
  <HyperlinkBase>https://www.cabinet.qld.gov.au/documents/2010/Aug/Response to review of the Biodiscovery Act/</HyperlinkBase>
  <HLinks>
    <vt:vector size="6" baseType="variant"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Attachments/Qld_Gov_Response_2009_Biodiscovery_Review.pdf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science</cp:keywords>
  <cp:lastModifiedBy/>
  <cp:revision>2</cp:revision>
  <cp:lastPrinted>2011-04-06T09:30:00Z</cp:lastPrinted>
  <dcterms:created xsi:type="dcterms:W3CDTF">2017-10-24T22:18:00Z</dcterms:created>
  <dcterms:modified xsi:type="dcterms:W3CDTF">2018-03-06T01:01:00Z</dcterms:modified>
  <cp:category>Science</cp:category>
</cp:coreProperties>
</file>